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964B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0575C">
        <w:rPr>
          <w:rFonts w:ascii="Arial" w:hAnsi="Arial" w:cs="Arial"/>
          <w:b/>
          <w:color w:val="auto"/>
          <w:sz w:val="24"/>
          <w:szCs w:val="24"/>
        </w:rPr>
        <w:t>I</w:t>
      </w:r>
      <w:r w:rsidR="00092261">
        <w:rPr>
          <w:rFonts w:ascii="Arial" w:hAnsi="Arial" w:cs="Arial"/>
          <w:b/>
          <w:color w:val="auto"/>
          <w:sz w:val="24"/>
          <w:szCs w:val="24"/>
        </w:rPr>
        <w:t>I</w:t>
      </w:r>
      <w:r w:rsidR="00CB5F2C">
        <w:rPr>
          <w:rFonts w:ascii="Arial" w:hAnsi="Arial" w:cs="Arial"/>
          <w:b/>
          <w:color w:val="auto"/>
          <w:sz w:val="24"/>
          <w:szCs w:val="24"/>
        </w:rPr>
        <w:t>I</w:t>
      </w:r>
      <w:r w:rsidR="001F47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E52B21">
        <w:rPr>
          <w:rFonts w:ascii="Arial" w:hAnsi="Arial" w:cs="Arial"/>
          <w:b/>
          <w:color w:val="auto"/>
          <w:sz w:val="24"/>
          <w:szCs w:val="24"/>
        </w:rPr>
        <w:t>3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CB5F2C">
            <w:pPr>
              <w:spacing w:after="0" w:line="240" w:lineRule="auto"/>
            </w:pPr>
            <w:r>
              <w:rPr>
                <w:rFonts w:ascii="Arial" w:hAnsi="Arial" w:cs="Calibri"/>
              </w:rPr>
              <w:t>100</w:t>
            </w:r>
            <w:r w:rsidR="00240517" w:rsidRPr="00240517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240517" w:rsidRPr="00121C4A" w:rsidRDefault="00CB5F2C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88,75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240517" w:rsidRPr="00121C4A" w:rsidRDefault="00CB5F2C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90,16 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  <w:p w:rsidR="00740945" w:rsidRPr="00121C4A" w:rsidRDefault="00CB5F2C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90,16</w:t>
            </w:r>
            <w:r w:rsidR="00240517" w:rsidRPr="00121C4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  <w:tc>
          <w:tcPr>
            <w:tcW w:w="2052" w:type="dxa"/>
            <w:shd w:val="clear" w:color="auto" w:fill="auto"/>
          </w:tcPr>
          <w:p w:rsidR="00740945" w:rsidRPr="00121C4A" w:rsidRDefault="0024051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1. </w:t>
            </w:r>
            <w:r w:rsidR="00E52B21">
              <w:rPr>
                <w:rFonts w:ascii="Arial" w:hAnsi="Arial" w:cs="Arial"/>
                <w:color w:val="000000" w:themeColor="text1"/>
                <w:sz w:val="18"/>
                <w:szCs w:val="20"/>
              </w:rPr>
              <w:t>88,</w:t>
            </w:r>
            <w:r w:rsidR="000D402C">
              <w:rPr>
                <w:rFonts w:ascii="Arial" w:hAnsi="Arial" w:cs="Arial"/>
                <w:color w:val="000000" w:themeColor="text1"/>
                <w:sz w:val="18"/>
                <w:szCs w:val="20"/>
              </w:rPr>
              <w:t>69</w:t>
            </w:r>
            <w:r w:rsidRPr="00121C4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Studium 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sektora publicznego - wartość docelo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Pr="00CB5F2C" w:rsidRDefault="00CB5F2C" w:rsidP="00207C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5F2C"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  <w:r>
              <w:t>04-2023</w:t>
            </w: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</w:p>
          <w:p w:rsidR="00092261" w:rsidRDefault="00092261" w:rsidP="00207C90">
            <w:pPr>
              <w:spacing w:after="0" w:line="240" w:lineRule="auto"/>
              <w:jc w:val="both"/>
            </w:pPr>
            <w:r>
              <w:t>06-2023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B5F2C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9226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9226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0D402C" w:rsidRDefault="00CB5F2C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0D402C">
              <w:rPr>
                <w:rFonts w:ascii="Arial" w:hAnsi="Arial" w:cs="Arial"/>
                <w:b/>
                <w:sz w:val="18"/>
                <w:szCs w:val="20"/>
              </w:rPr>
              <w:t>6150</w:t>
            </w:r>
          </w:p>
          <w:p w:rsidR="00740945" w:rsidRPr="000D402C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740945" w:rsidRPr="000D402C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740945" w:rsidRPr="000D402C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740945" w:rsidRPr="000D402C" w:rsidRDefault="00CB5F2C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0D402C">
              <w:rPr>
                <w:rFonts w:ascii="Arial" w:hAnsi="Arial" w:cs="Arial"/>
                <w:b/>
                <w:sz w:val="18"/>
                <w:szCs w:val="20"/>
              </w:rPr>
              <w:t>23000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D57B48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D57B4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D57B48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D57B4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57B48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092261">
              <w:rPr>
                <w:rFonts w:ascii="Arial" w:hAnsi="Arial" w:cs="Arial"/>
                <w:b/>
                <w:sz w:val="18"/>
                <w:szCs w:val="20"/>
              </w:rPr>
              <w:t>229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57B4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13,</w:t>
            </w:r>
            <w:r w:rsidR="00092261">
              <w:rPr>
                <w:rFonts w:ascii="Arial" w:hAnsi="Arial" w:cs="Arial"/>
                <w:b/>
                <w:sz w:val="18"/>
                <w:szCs w:val="20"/>
              </w:rPr>
              <w:t>2568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Pr="000D402C" w:rsidRDefault="00CB5F2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D402C">
              <w:rPr>
                <w:rFonts w:ascii="Arial" w:hAnsi="Arial" w:cs="Arial"/>
                <w:sz w:val="18"/>
                <w:szCs w:val="20"/>
              </w:rPr>
              <w:t>07-2023</w:t>
            </w: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92261" w:rsidRDefault="0009226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092261" w:rsidRPr="000D402C" w:rsidRDefault="00CB5F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r w:rsidRPr="000D402C">
              <w:rPr>
                <w:rFonts w:ascii="Arial" w:hAnsi="Arial" w:cs="Arial"/>
                <w:sz w:val="18"/>
                <w:szCs w:val="18"/>
              </w:rPr>
              <w:t>07-2023</w:t>
            </w:r>
            <w:bookmarkEnd w:id="1"/>
          </w:p>
        </w:tc>
        <w:tc>
          <w:tcPr>
            <w:tcW w:w="3541" w:type="dxa"/>
            <w:shd w:val="clear" w:color="auto" w:fill="auto"/>
          </w:tcPr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>Status: analizowanie</w:t>
            </w:r>
          </w:p>
          <w:p w:rsidR="00740945" w:rsidRPr="003903AE" w:rsidRDefault="00740945">
            <w:pPr>
              <w:pStyle w:val="LO-normal"/>
              <w:rPr>
                <w:rFonts w:ascii="Arial" w:hAnsi="Arial" w:cs="Arial"/>
                <w:sz w:val="20"/>
                <w:szCs w:val="20"/>
              </w:rPr>
            </w:pPr>
          </w:p>
          <w:p w:rsidR="00740945" w:rsidRPr="003903AE" w:rsidRDefault="003D0D44">
            <w:pPr>
              <w:pStyle w:val="LO-normal"/>
              <w:rPr>
                <w:rFonts w:ascii="Arial" w:hAnsi="Arial" w:cs="Arial"/>
              </w:rPr>
            </w:pPr>
            <w:r w:rsidRPr="003903AE">
              <w:rPr>
                <w:rFonts w:ascii="Arial" w:hAnsi="Arial" w:cs="Arial"/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 w:rsidRPr="003903AE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903AE">
              <w:rPr>
                <w:rFonts w:ascii="Arial" w:hAnsi="Arial" w:cs="Arial"/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polityki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2" w:name="__DdeLink__7751_2756344845"/>
            <w:bookmarkEnd w:id="2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3" w:name="__DdeLink__7751_27563448451"/>
            <w:bookmarkEnd w:id="3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przekroczenia kosztów zawartych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r w:rsidR="00704BD8"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4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4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EA5" w:rsidRDefault="00EA5EA5">
      <w:pPr>
        <w:spacing w:after="0" w:line="240" w:lineRule="auto"/>
      </w:pPr>
      <w:r>
        <w:separator/>
      </w:r>
    </w:p>
  </w:endnote>
  <w:endnote w:type="continuationSeparator" w:id="0">
    <w:p w:rsidR="00EA5EA5" w:rsidRDefault="00EA5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EA5" w:rsidRDefault="00EA5EA5">
      <w:r>
        <w:separator/>
      </w:r>
    </w:p>
  </w:footnote>
  <w:footnote w:type="continuationSeparator" w:id="0">
    <w:p w:rsidR="00EA5EA5" w:rsidRDefault="00EA5EA5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092261"/>
    <w:rsid w:val="000D402C"/>
    <w:rsid w:val="00106809"/>
    <w:rsid w:val="00121C4A"/>
    <w:rsid w:val="001C2C48"/>
    <w:rsid w:val="001F47BC"/>
    <w:rsid w:val="002009EA"/>
    <w:rsid w:val="0020575C"/>
    <w:rsid w:val="00207C90"/>
    <w:rsid w:val="00240517"/>
    <w:rsid w:val="00302950"/>
    <w:rsid w:val="003903AE"/>
    <w:rsid w:val="003D0D44"/>
    <w:rsid w:val="005B0B32"/>
    <w:rsid w:val="005E691F"/>
    <w:rsid w:val="00662030"/>
    <w:rsid w:val="0068468F"/>
    <w:rsid w:val="00704BD8"/>
    <w:rsid w:val="00740945"/>
    <w:rsid w:val="00851522"/>
    <w:rsid w:val="00964B33"/>
    <w:rsid w:val="009934DF"/>
    <w:rsid w:val="009F33E1"/>
    <w:rsid w:val="00A06470"/>
    <w:rsid w:val="00A13DC6"/>
    <w:rsid w:val="00AB6EF5"/>
    <w:rsid w:val="00B77F6E"/>
    <w:rsid w:val="00C63262"/>
    <w:rsid w:val="00CB5F2C"/>
    <w:rsid w:val="00D365E2"/>
    <w:rsid w:val="00D57B48"/>
    <w:rsid w:val="00E52B21"/>
    <w:rsid w:val="00EA5EA5"/>
    <w:rsid w:val="00F9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1D04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C8485-C9A7-4155-ADF4-9CD61DA7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2</cp:revision>
  <dcterms:created xsi:type="dcterms:W3CDTF">2023-11-16T09:30:00Z</dcterms:created>
  <dcterms:modified xsi:type="dcterms:W3CDTF">2023-11-16T09:30:00Z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